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15446F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EE75E5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946B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46BA0">
        <w:rPr>
          <w:rFonts w:ascii="Times New Roman" w:hAnsi="Times New Roman" w:cs="Times New Roman"/>
        </w:rPr>
        <w:t>С</w:t>
      </w:r>
      <w:proofErr w:type="gramEnd"/>
      <w:r w:rsidR="00946BA0">
        <w:rPr>
          <w:rFonts w:ascii="Times New Roman" w:hAnsi="Times New Roman" w:cs="Times New Roman"/>
        </w:rPr>
        <w:t>тарокульшарипово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№</w:t>
      </w:r>
      <w:r w:rsidR="00946BA0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proofErr w:type="gramStart"/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>муниципальной</w:t>
      </w:r>
      <w:r w:rsidR="00FB7FDA">
        <w:rPr>
          <w:rStyle w:val="1"/>
          <w:rFonts w:ascii="Times New Roman" w:hAnsi="Times New Roman"/>
          <w:b/>
          <w:sz w:val="28"/>
          <w:szCs w:val="28"/>
        </w:rPr>
        <w:t xml:space="preserve"> </w:t>
      </w:r>
      <w:r w:rsidR="00C8202E">
        <w:rPr>
          <w:rStyle w:val="1"/>
          <w:rFonts w:ascii="Times New Roman" w:hAnsi="Times New Roman"/>
          <w:b/>
          <w:sz w:val="28"/>
          <w:szCs w:val="28"/>
        </w:rPr>
        <w:t xml:space="preserve">программы </w:t>
      </w:r>
      <w:r w:rsidR="00C8202E" w:rsidRPr="007B009E">
        <w:rPr>
          <w:rStyle w:val="1"/>
          <w:rFonts w:ascii="Times New Roman" w:hAnsi="Times New Roman"/>
          <w:b/>
          <w:sz w:val="28"/>
          <w:szCs w:val="28"/>
        </w:rPr>
        <w:t>профилактики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r w:rsidR="0015446F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FB7FDA">
        <w:rPr>
          <w:rFonts w:ascii="Times New Roman" w:hAnsi="Times New Roman"/>
          <w:b/>
          <w:sz w:val="28"/>
          <w:szCs w:val="28"/>
        </w:rPr>
        <w:t xml:space="preserve"> на 202</w:t>
      </w:r>
      <w:r w:rsidR="00EE75E5">
        <w:rPr>
          <w:rFonts w:ascii="Times New Roman" w:hAnsi="Times New Roman"/>
          <w:b/>
          <w:sz w:val="28"/>
          <w:szCs w:val="28"/>
        </w:rPr>
        <w:t>5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  <w:proofErr w:type="gramEnd"/>
    </w:p>
    <w:bookmarkEnd w:id="0"/>
    <w:p w:rsidR="00EF11ED" w:rsidRPr="00643A42" w:rsidRDefault="00EF11ED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782" w:rsidRPr="00643A42" w:rsidRDefault="00AB0782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sz w:val="28"/>
          <w:szCs w:val="28"/>
        </w:rPr>
        <w:t>В  соответствии  с Федеральным законом от 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</w:t>
      </w:r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46F">
        <w:rPr>
          <w:rFonts w:ascii="Times New Roman" w:hAnsi="Times New Roman" w:cs="Times New Roman"/>
          <w:sz w:val="28"/>
          <w:szCs w:val="28"/>
        </w:rPr>
        <w:t>Новосултангуловского</w:t>
      </w:r>
      <w:proofErr w:type="spellEnd"/>
      <w:proofErr w:type="gramEnd"/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Pr="00643A42">
        <w:rPr>
          <w:rFonts w:ascii="Times New Roman" w:hAnsi="Times New Roman" w:cs="Times New Roman"/>
          <w:sz w:val="28"/>
          <w:szCs w:val="28"/>
        </w:rPr>
        <w:t xml:space="preserve"> «Об  утверждении  Порядка  разработки, реализации и  оценки эффективности  муниципальных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5446F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15446F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43A42">
        <w:rPr>
          <w:rFonts w:ascii="Times New Roman" w:hAnsi="Times New Roman" w:cs="Times New Roman"/>
          <w:sz w:val="28"/>
          <w:szCs w:val="28"/>
        </w:rPr>
        <w:t>,   постановляю:</w:t>
      </w:r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15446F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r w:rsidR="00EE75E5">
        <w:rPr>
          <w:rFonts w:ascii="Times New Roman" w:hAnsi="Times New Roman" w:cs="Times New Roman"/>
          <w:sz w:val="28"/>
          <w:szCs w:val="28"/>
        </w:rPr>
        <w:t>на 2025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EE75E5">
        <w:rPr>
          <w:rFonts w:ascii="Times New Roman" w:hAnsi="Times New Roman" w:cs="Times New Roman"/>
          <w:sz w:val="28"/>
          <w:szCs w:val="28"/>
        </w:rPr>
        <w:t xml:space="preserve">, но не ранее 1 января 2025 </w:t>
      </w:r>
      <w:r w:rsidR="00AB0782" w:rsidRPr="00643A42">
        <w:rPr>
          <w:rFonts w:ascii="Times New Roman" w:hAnsi="Times New Roman" w:cs="Times New Roman"/>
          <w:sz w:val="28"/>
          <w:szCs w:val="28"/>
        </w:rPr>
        <w:t>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46B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5446F">
        <w:rPr>
          <w:rFonts w:ascii="Times New Roman" w:hAnsi="Times New Roman" w:cs="Times New Roman"/>
          <w:sz w:val="28"/>
          <w:szCs w:val="28"/>
        </w:rPr>
        <w:t xml:space="preserve">                                   Ф.Ф.Асылгареев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946BA0" w:rsidRDefault="00946BA0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lastRenderedPageBreak/>
        <w:t xml:space="preserve">Приложение к постановлению 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15446F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EE75E5">
        <w:rPr>
          <w:rFonts w:ascii="Times New Roman" w:hAnsi="Times New Roman"/>
          <w:b/>
          <w:sz w:val="28"/>
          <w:szCs w:val="28"/>
        </w:rPr>
        <w:t xml:space="preserve"> сельсовет на 2025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proofErr w:type="gramStart"/>
            <w:r w:rsidRPr="0032760E">
              <w:t xml:space="preserve">Программа профилактики рисков (ущерба) причинения вреда охраняемым законом ценностям по муниципальному  контролюна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 w:rsidR="0015446F">
              <w:t>Новосултангуловский</w:t>
            </w:r>
            <w:r w:rsidRPr="0032760E">
              <w:t xml:space="preserve"> сельсовет </w:t>
            </w:r>
            <w:r w:rsidR="0015446F">
              <w:t>на 202</w:t>
            </w:r>
            <w:r w:rsidR="0015446F">
              <w:rPr>
                <w:rFonts w:asciiTheme="minorHAnsi" w:hAnsiTheme="minorHAnsi"/>
              </w:rPr>
              <w:t>5</w:t>
            </w:r>
            <w:r w:rsidRPr="0032760E">
              <w:t xml:space="preserve"> год.</w:t>
            </w:r>
            <w:proofErr w:type="gramEnd"/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</w:t>
            </w:r>
            <w:r w:rsidR="0015446F">
              <w:t>Новосултангуловский</w:t>
            </w:r>
            <w:r>
              <w:t xml:space="preserve">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Правовые основания</w:t>
            </w:r>
          </w:p>
          <w:p w:rsidR="00990812" w:rsidRPr="0065436A" w:rsidRDefault="00990812" w:rsidP="00990812">
            <w:pPr>
              <w:spacing w:before="0" w:line="240" w:lineRule="auto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E84F23" w:rsidP="00990812">
            <w:pPr>
              <w:spacing w:before="0" w:line="240" w:lineRule="auto"/>
            </w:pPr>
            <w:r>
              <w:t>202</w:t>
            </w:r>
            <w:r w:rsidR="0015446F">
              <w:rPr>
                <w:rFonts w:asciiTheme="minorHAnsi" w:hAnsiTheme="minorHAnsi"/>
              </w:rPr>
              <w:t>5</w:t>
            </w:r>
            <w:r w:rsidR="00990812"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 w:rsidR="0015446F">
              <w:t>Новосултангуловский</w:t>
            </w:r>
            <w:r w:rsidRPr="001B1D0D">
              <w:t xml:space="preserve">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lastRenderedPageBreak/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15446F">
        <w:t>Новосултангуловский</w:t>
      </w:r>
      <w:r w:rsidRPr="0032760E">
        <w:t xml:space="preserve"> сельсовет</w:t>
      </w:r>
      <w:r w:rsidR="00E84F23">
        <w:t xml:space="preserve"> на 202</w:t>
      </w:r>
      <w:r w:rsidR="0015446F">
        <w:rPr>
          <w:rFonts w:asciiTheme="minorHAnsi" w:hAnsiTheme="minorHAnsi"/>
        </w:rPr>
        <w:t>5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15446F">
        <w:t>Новосултангуловский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15446F">
        <w:t>Новосултангуловский</w:t>
      </w:r>
      <w:r w:rsidRPr="001B1D0D">
        <w:t xml:space="preserve">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</w:t>
      </w:r>
      <w:proofErr w:type="gramStart"/>
      <w:r w:rsidRPr="001B1D0D">
        <w:t>результаты</w:t>
      </w:r>
      <w:proofErr w:type="gramEnd"/>
      <w:r w:rsidRPr="001B1D0D">
        <w:t xml:space="preserve"> деятельности которых либо производственные объекты, находящиеся во владении и (или) в пользовании </w:t>
      </w:r>
      <w:proofErr w:type="gramStart"/>
      <w:r w:rsidRPr="001B1D0D">
        <w:t>которых</w:t>
      </w:r>
      <w:proofErr w:type="gramEnd"/>
      <w:r w:rsidRPr="001B1D0D">
        <w:t xml:space="preserve">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15446F">
        <w:t>Новосултангуловский</w:t>
      </w:r>
      <w:r w:rsidRPr="001B1D0D">
        <w:t xml:space="preserve">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3. Профилактическое сопровождение контролируемых лиц в текущем периоде направлено на: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proofErr w:type="gramStart"/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в дорожном хозяйстве на территории муниципального образования </w:t>
      </w:r>
      <w:r w:rsidR="0015446F">
        <w:t>Новосултангуловский</w:t>
      </w:r>
      <w:r w:rsidRPr="0032760E">
        <w:t xml:space="preserve"> сельсовет</w:t>
      </w:r>
      <w:r>
        <w:t>.</w:t>
      </w:r>
      <w:proofErr w:type="gramEnd"/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lastRenderedPageBreak/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№ п/п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proofErr w:type="spellStart"/>
            <w:r w:rsidR="0015446F">
              <w:t>Новосултангуловского</w:t>
            </w:r>
            <w:proofErr w:type="spellEnd"/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15446F">
              <w:t>Новосултангуловский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15446F">
              <w:t>Новосултангуловский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требованийв сфере муниципального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 xml:space="preserve">о образования </w:t>
            </w:r>
            <w:r w:rsidR="0015446F">
              <w:t>Новосултангуловский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15446F">
              <w:t>Новосултангуловский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Организации и осуществления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Порядка осуществления профилактических, контрольных 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по запросу,способы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15446F">
              <w:t>Новосултангуловский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 w:rsidR="00EE75E5">
              <w:t xml:space="preserve"> квартал 202</w:t>
            </w:r>
            <w:r w:rsidR="00EE75E5">
              <w:rPr>
                <w:rFonts w:asciiTheme="minorHAnsi" w:hAnsiTheme="minorHAnsi"/>
              </w:rPr>
              <w:t>5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15446F">
              <w:t>Новосултангуловский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>4. Показатель результативности и эффективности программы профилактики рисков причинения вреда.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1B1D0D">
        <w:t>контроля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 xml:space="preserve">о образования </w:t>
      </w:r>
      <w:r w:rsidR="0015446F">
        <w:t>Новосултангуловский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lastRenderedPageBreak/>
        <w:t>2.Развитию системы профилактических мероприятий, проводимых Администрацией муниципального</w:t>
      </w:r>
      <w:r>
        <w:t xml:space="preserve"> образования </w:t>
      </w:r>
      <w:r w:rsidR="0015446F">
        <w:t>Новосултангуловский</w:t>
      </w:r>
      <w:r>
        <w:t xml:space="preserve">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 (%)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15446F" w:rsidRDefault="00990812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 w:rsidRPr="006B42F8">
              <w:rPr>
                <w:sz w:val="22"/>
                <w:szCs w:val="22"/>
              </w:rPr>
              <w:t>Период, год</w:t>
            </w:r>
            <w:r w:rsidR="0015446F">
              <w:rPr>
                <w:sz w:val="22"/>
                <w:szCs w:val="22"/>
              </w:rPr>
              <w:t>202</w:t>
            </w:r>
            <w:r w:rsidR="0015446F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Индикативные показатели в сфере муниципального  </w:t>
      </w:r>
      <w:r w:rsidRPr="001B1D0D">
        <w:t>контроля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 xml:space="preserve">о образования </w:t>
      </w:r>
      <w:r w:rsidR="0015446F">
        <w:t>Новосултангуловский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</w:t>
      </w:r>
      <w:r w:rsidR="0015446F">
        <w:t>Новосултангуловский</w:t>
      </w:r>
      <w:r>
        <w:t xml:space="preserve">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EE75E5" w:rsidRDefault="00EE75E5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446F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6BA0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14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27D9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202E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4F23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5E5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B7FDA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17</cp:revision>
  <cp:lastPrinted>2021-12-27T10:50:00Z</cp:lastPrinted>
  <dcterms:created xsi:type="dcterms:W3CDTF">2022-09-30T11:30:00Z</dcterms:created>
  <dcterms:modified xsi:type="dcterms:W3CDTF">2024-10-07T11:46:00Z</dcterms:modified>
</cp:coreProperties>
</file>