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DE" w:rsidRDefault="00B338DE" w:rsidP="009E1591">
      <w:pPr>
        <w:shd w:val="clear" w:color="auto" w:fill="FFFFFF"/>
        <w:spacing w:after="240" w:line="336" w:lineRule="atLeast"/>
        <w:rPr>
          <w:rFonts w:ascii="Tahoma" w:eastAsia="Times New Roman" w:hAnsi="Tahoma" w:cs="Tahoma"/>
          <w:color w:val="333333"/>
          <w:sz w:val="19"/>
          <w:szCs w:val="19"/>
        </w:rPr>
      </w:pPr>
    </w:p>
    <w:p w:rsidR="00B338DE" w:rsidRPr="00B338DE" w:rsidRDefault="007C08BC" w:rsidP="00B338DE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666666"/>
          <w:spacing w:val="-12"/>
          <w:sz w:val="28"/>
          <w:szCs w:val="28"/>
        </w:rPr>
      </w:pPr>
      <w:hyperlink r:id="rId6" w:tooltip="Информация  о состоянии окружающей среды  и об использовании природных ресурсов" w:history="1">
        <w:r w:rsidR="00B338DE" w:rsidRPr="00DE298F">
          <w:rPr>
            <w:rStyle w:val="a4"/>
            <w:b w:val="0"/>
            <w:bCs w:val="0"/>
            <w:spacing w:val="-12"/>
            <w:sz w:val="28"/>
            <w:szCs w:val="28"/>
            <w:highlight w:val="yellow"/>
            <w:bdr w:val="none" w:sz="0" w:space="0" w:color="auto" w:frame="1"/>
            <w:shd w:val="clear" w:color="auto" w:fill="666666"/>
          </w:rPr>
          <w:t>Информация о состоянии окружающей среды и об использовании природных ресурсов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338DE" w:rsidRPr="00B338DE" w:rsidTr="00B338DE">
        <w:tc>
          <w:tcPr>
            <w:tcW w:w="0" w:type="auto"/>
            <w:vAlign w:val="center"/>
            <w:hideMark/>
          </w:tcPr>
          <w:p w:rsidR="00B338DE" w:rsidRPr="00B338DE" w:rsidRDefault="00B338DE" w:rsidP="00B338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338DE" w:rsidRDefault="00B338DE" w:rsidP="009E1591">
      <w:pPr>
        <w:shd w:val="clear" w:color="auto" w:fill="FFFFFF"/>
        <w:spacing w:after="240" w:line="336" w:lineRule="atLeast"/>
        <w:rPr>
          <w:rFonts w:ascii="Tahoma" w:eastAsia="Times New Roman" w:hAnsi="Tahoma" w:cs="Tahoma"/>
          <w:color w:val="333333"/>
          <w:sz w:val="19"/>
          <w:szCs w:val="19"/>
        </w:rPr>
      </w:pP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целом экологическая ситуация на территории МО </w:t>
      </w:r>
      <w:r w:rsidR="00D86E69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Новосултангуловский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 благоприятная. Н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 территории муниципального обр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азования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Основными источниками загрязнения окружающей среды в муниципальном образовании являются автотранспорт, твёрдые коммунальные отходы (далее ТКО), отходы от д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еятельности сельскохозяйственного предприятия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Решена проблема сбора и утилизации бытовых отходов. На территории муниципа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льно</w:t>
      </w:r>
      <w:r w:rsidR="00057553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го образования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установлено </w:t>
      </w:r>
      <w:r w:rsidR="00F25A15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28</w:t>
      </w:r>
      <w:r w:rsidR="00EA0E7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контейнеров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сбора ТКО. Вывоз твердых коммунальных о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тходов осуществляет 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оператор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ООО « Природа»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Автодорожная сеть на территории поселения представлена участками межмуниципального значения и сетью автодорог общего пользования местного значения.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автомобильных дорог.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муниципального образования имеются действующие объекты специального назначения – скотомогильники, а также свалки твердых коммунальных отходов.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057553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селение для обеспечения питьевой водой используют собственные скважины, на  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территории муниципального образования </w:t>
      </w:r>
      <w:r w:rsidR="00057553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нет водопровода. 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Запасов подземных вод достаточно для обеспечения чистой водой жителей всех населенных пунктов муниципального образования.</w:t>
      </w:r>
    </w:p>
    <w:p w:rsidR="009E1591" w:rsidRPr="00F25A15" w:rsidRDefault="009E1591" w:rsidP="00B338D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Для решения проблем по благоустройству населенных пунктов</w:t>
      </w:r>
      <w:r w:rsidR="00EA0E7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 xml:space="preserve">Решение Совета депутатов муниципального образования </w:t>
      </w:r>
      <w:r w:rsidR="00D86E69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Новосултангуловский</w:t>
      </w:r>
      <w:r w:rsidR="00770EFF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 xml:space="preserve"> сельсовет от </w:t>
      </w:r>
      <w:r w:rsidR="00D86E69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31.05</w:t>
      </w:r>
      <w:r w:rsidR="00770EFF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.2019</w:t>
      </w:r>
      <w:r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 xml:space="preserve"> № </w:t>
      </w:r>
      <w:r w:rsidR="00EA0E71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1</w:t>
      </w:r>
      <w:r w:rsidR="00D86E69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23</w:t>
      </w:r>
      <w:r w:rsidR="00EA0E71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 xml:space="preserve"> 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утверждены  Правила благоустройства территории муниципального образования </w:t>
      </w:r>
      <w:r w:rsidR="00D86E69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Новосултангуловский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 </w:t>
      </w:r>
      <w:r w:rsidR="00770EFF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Асекеевского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 Оренбургской области. Вышеуказанный нормативный правовой акт размещен на сайте администрации </w:t>
      </w:r>
      <w:proofErr w:type="spellStart"/>
      <w:r w:rsidR="00D86E69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Новосултангуловского</w:t>
      </w:r>
      <w:proofErr w:type="spellEnd"/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сельсовета в информационно-телекоммуникационной сети Интернет.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Администрацией сельского поселения проводятся месячники по уборке территорий населенных пунктов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</w:p>
    <w:p w:rsidR="009E1591" w:rsidRPr="00F25A15" w:rsidRDefault="009E1591" w:rsidP="00B338DE">
      <w:pPr>
        <w:pBdr>
          <w:left w:val="single" w:sz="48" w:space="12" w:color="CCCCCC"/>
        </w:pBdr>
        <w:shd w:val="clear" w:color="auto" w:fill="EEEEEE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Мероприятия по охране окружающей среды по  Генплану</w:t>
      </w:r>
    </w:p>
    <w:p w:rsidR="00A54B14" w:rsidRPr="009E1591" w:rsidRDefault="00A54B14" w:rsidP="00B338DE">
      <w:pPr>
        <w:pBdr>
          <w:left w:val="single" w:sz="48" w:space="12" w:color="CCCCCC"/>
        </w:pBdr>
        <w:shd w:val="clear" w:color="auto" w:fill="EEEEEE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</w:rPr>
      </w:pP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мероприятиями по охране окружающей среды и поддержанию благоприятной санитарно-эпидемиологической обстановки в условиях градостроительного развития, является установление зон с особыми условиями использования территории. 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планировочная структура населенных пунктов, условия развития селитебных территорий или производственных зон.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Зоны  с особыми условиями использования территории представлены: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Санитарно-защитными зонами (СЗЗ) предприятий, сооружений  и иных объектов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proofErr w:type="spellStart"/>
      <w:r w:rsidRPr="00F25A15">
        <w:rPr>
          <w:rFonts w:eastAsia="Calibri"/>
          <w:kern w:val="0"/>
          <w:sz w:val="28"/>
          <w:szCs w:val="28"/>
          <w:lang w:eastAsia="en-US"/>
        </w:rPr>
        <w:t>Водоохранными</w:t>
      </w:r>
      <w:proofErr w:type="spellEnd"/>
      <w:r w:rsidRPr="00F25A15">
        <w:rPr>
          <w:rFonts w:eastAsia="Calibri"/>
          <w:kern w:val="0"/>
          <w:sz w:val="28"/>
          <w:szCs w:val="28"/>
          <w:lang w:eastAsia="en-US"/>
        </w:rPr>
        <w:t xml:space="preserve"> зонами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Зонами охраны источников водоснабжения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Охранными и санитарно-защитными зонами транспортной и инженерной инфраструктур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sz w:val="28"/>
          <w:szCs w:val="28"/>
        </w:rPr>
      </w:pPr>
      <w:bookmarkStart w:id="0" w:name="_Toc359145253"/>
      <w:bookmarkStart w:id="1" w:name="_Toc361857131"/>
      <w:r w:rsidRPr="00F25A15">
        <w:rPr>
          <w:sz w:val="28"/>
          <w:szCs w:val="28"/>
        </w:rPr>
        <w:t>8.1. Охрана атмосферного воздуха</w:t>
      </w:r>
      <w:bookmarkEnd w:id="0"/>
      <w:bookmarkEnd w:id="1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требованиями федерального закона «Об охране атмосферного воздуха» юридические лица, имеющие источники выбросов 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вредных (загрязняющих) веществ в атмосферный воздух, должны разрабатывать и осуществлять мероприятия по охране атмосферного воздуха.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направления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воздухоохранных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мероприятий для действующих произво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дств вкл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ючают технологические и специальные мероприятия, направленные на сокращение объемов выбросов и снижение их приземных концентраций.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Технологические мероприятия включают: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использование более прогрессивной технологии по сравнению с применяющейся на других предприятиях для получения той же продукции;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увеличение единичной мощности агрегатов при одинаковой суммарной производительности;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применение в производстве более "чистого" вида топлива;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применение рециркуляции дымовых газов;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внедрение наиболее совершенной структуры газового баланса предприятия.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 специальным мероприятиям, направленным на сокращение объемов и токсичности выбросов объекта и снижение приземных концентраций загрязняющих веществ, относятся: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сокращение неорганизованных выбросов;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очистка и обезвреживание вредных веществ из отходящих газов;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улучшение условий рассеивания выбросов.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отсутствии разрешений на выбросы вредных (загрязняющих) веществ в атмосферный воздух, а также при нарушении условий, предусмотренных данными разрешениями, выбросы вредных (загрязняющих) веществ в атмосферный воздух должны быть ограничены, приостановлены или прекращены в порядке, определенном Постановлением Правительства РФ от 28 ноября 2002 года №847.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получении прогнозов неблагоприятных метеорологических условий,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природопользователи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имеющие источники выбросов вредных (загрязняющих) веществ в атмосферный воздух, обязаны уменьшить выбросы вредных (загрязняющих) веществ в атмосферный воздух.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улучшения акустического режима жилой застройки, расположенной в зоне негативных воздействий автомобильных (железной) дорог, рекомендуется вдоль них построить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шумозащитные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экраны. Также защита жилых кварталов от шума должна сопровождаться подсадкой защитных древесно-кустарниковых полос. Эти мероприятия позволят снизить и концентрации вредных (загрязняющих) веще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ств в пр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иземном слое атмосферы на территории населенных пунктов.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Также рекомендуется максимально озеленять СЗЗ с организацией полосы древесно-кустарниковых насаждений со стороны жилой застройки. Санитарно-защитная зона для предприятий IV, V классов должна быть максимально озеленена - не менее 60% площади; для предприятий II и III класса - не менее 50%; для предприятий, имеющих санитарно-защитную зону 1000 м и более - не менее 40% ее территории (СНиП 2.07.01-89*).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45 ФЗ «Об охране окружающей среды» юридические и физические лица, осуществляющие эксплуатацию автомобильных транспортных средств, обязаны соблюдать нормативы допустимых выбросов веществ, а также принимать меры по обезвреживанию загрязняющих веществ, в том числе их нейтрализации, снижению уровня шума и иного негативного воздействия на окружающую среду.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требования к автотранспорту, в первую очередь, включают его соответствие или несоответствие техническим нормативам выбросов вредных веществ в атмосферу, установленных соответствующими стандартами. Транспортные средства, выбросы которых оказывают вредное воздействие на атмосферный воздух, подлежат регулярной проверке на соответствие таких выбросов техническим нормативам выбросов.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«Об ограничении, приостановлении или прекращении выбросов вредных (загрязняющих) веществ в атмосферный воздух и вредных физических воздействий на атмосферный воздух», утвержденное Постановлением Правительства РФ от 28 ноября 2002 года N 847 гласит: если в ходе регулярных проверок транспортных и иных передвижных средств на соответствие осуществляемых ими выбросов техническим нормативам установлено превышение технических нормативов, эксплуатация указанных средств запрещается в соответствии со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статьей 17 Федерального закона "Об охране атмосферного воздуха".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уменьшения загрязнения атмосферного воздуха выхлопными газами автотранспорта для заправки автомобилей следует использовать неэтилированный бензин, сжиженный газ.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2" w:name="_Toc359145254"/>
      <w:bookmarkStart w:id="3" w:name="_Toc361857132"/>
      <w:r w:rsidRPr="00F25A15">
        <w:rPr>
          <w:rFonts w:eastAsia="Calibri"/>
          <w:sz w:val="28"/>
          <w:szCs w:val="28"/>
          <w:lang w:eastAsia="en-US"/>
        </w:rPr>
        <w:t>8.2. Санитарно-защитные зоны</w:t>
      </w:r>
      <w:bookmarkEnd w:id="2"/>
      <w:bookmarkEnd w:id="3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СанПиН 2.2.1/2.1.1.1200-03 «Санитарно-защитные зоны и санитарная классификация предприятий, сооружений и иных объектов» для предприятий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Новосултангуловскогосельсовета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установлены санитарно-защитные зоны, предназначенные для создания барьера между территорией предприятия (группы предприятий) и территорией жилой застройки.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Размеры санитарно-защитных зон от источников</w:t>
      </w:r>
    </w:p>
    <w:p w:rsidR="00F25A15" w:rsidRPr="00F25A15" w:rsidRDefault="00F25A15" w:rsidP="00F25A15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5A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загрязнения атмосферы МО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241"/>
        <w:gridCol w:w="4012"/>
        <w:gridCol w:w="2145"/>
        <w:gridCol w:w="2172"/>
      </w:tblGrid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 xml:space="preserve">№ </w:t>
            </w:r>
            <w:proofErr w:type="gramStart"/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п</w:t>
            </w:r>
            <w:proofErr w:type="gramEnd"/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/п</w:t>
            </w:r>
          </w:p>
        </w:tc>
        <w:tc>
          <w:tcPr>
            <w:tcW w:w="401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Наименование объекта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Класс опасности объекта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 xml:space="preserve">Санитарно-защитная зона, </w:t>
            </w:r>
            <w:proofErr w:type="gramStart"/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м</w:t>
            </w:r>
            <w:proofErr w:type="gramEnd"/>
          </w:p>
        </w:tc>
      </w:tr>
      <w:tr w:rsidR="00F25A15" w:rsidRPr="00F25A15" w:rsidTr="006550BB">
        <w:trPr>
          <w:trHeight w:val="576"/>
        </w:trPr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 xml:space="preserve">Нефтедобывающая </w:t>
            </w:r>
            <w:proofErr w:type="spellStart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скв</w:t>
            </w: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ажина</w:t>
            </w:r>
            <w:proofErr w:type="spellEnd"/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300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2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proofErr w:type="spellStart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Эл</w:t>
            </w:r>
            <w:proofErr w:type="spellEnd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 xml:space="preserve">. </w:t>
            </w:r>
            <w:proofErr w:type="spellStart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подстанция</w:t>
            </w:r>
            <w:proofErr w:type="spellEnd"/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300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3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ОТФ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4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Кузница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5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Овощехранилище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25A15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25A15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50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6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proofErr w:type="spellStart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Мехток</w:t>
            </w:r>
            <w:proofErr w:type="spellEnd"/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7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МТФ ОАО «Алга»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8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Конюшня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25A15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25A15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50</w:t>
            </w:r>
          </w:p>
        </w:tc>
      </w:tr>
    </w:tbl>
    <w:p w:rsidR="00F25A15" w:rsidRPr="00F25A15" w:rsidRDefault="00F25A15" w:rsidP="00F25A1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5A15" w:rsidRPr="00F25A15" w:rsidRDefault="00F25A15" w:rsidP="00F25A1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Санитарно-защитные зоны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объектов, влияющих на окружающую среду нанесены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схеме комплексной оценки.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Размеры охранных зон линий электропередачи приняты в зависимости от их напряжения (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кВ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в соответствии с «Правилами охраны электрических сетей напряжением свыше 1000 Вольт» (М.,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Энергоатомиздат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, 1985) и новой редакцией СанПиН 2.2.1/2.1.1. 1200-03.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территориях в границах санитарно-защитных зон запрещено: размещать новую жилую застройку, включая отдельные жилые дома, ландшафтно-рекреационные зоны, эксплуатировать садово-огородные участки, детские площадки, образовательные и детские учреждения, оздоровительные учреждения общего пользования, объекты пищевой промышленности и другие территории с нормируемыми показателями качества.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Проектные предложения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Новое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жилое строительство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границах санитарно-защитных зон и санитарных разрывов генеральным планом не предусматривается.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 размещении новых объектов в планируемой производственной зоне необходимо оценивать имеющиеся территориальные ресурсы для организации санитарно-защитной зоны, т.е. фактическое расстояние до границы нормируемых территорий (как существующих, так и планируемых). Приоритетом считать соблюдение установленных гигиенических нормативов загрязняющих веществ в атмосферном воздухе и уровней физического воздействия на атмосферный воздух.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4" w:name="_Toc359145255"/>
      <w:bookmarkStart w:id="5" w:name="_Toc361857133"/>
      <w:r w:rsidRPr="00F25A15">
        <w:rPr>
          <w:rFonts w:eastAsia="Calibri"/>
          <w:sz w:val="28"/>
          <w:szCs w:val="28"/>
          <w:lang w:eastAsia="en-US"/>
        </w:rPr>
        <w:lastRenderedPageBreak/>
        <w:t>8.3. Мероприятия по охране поверхностных и подземных вод</w:t>
      </w:r>
      <w:bookmarkEnd w:id="4"/>
      <w:bookmarkEnd w:id="5"/>
    </w:p>
    <w:p w:rsidR="00F25A15" w:rsidRPr="00F25A15" w:rsidRDefault="00F25A15" w:rsidP="00F25A1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Водному Кодексу Российской Федерации от 03.06.2006г №74–ФЗ установлены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водоохранные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для рек и ручьев для МО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Новосултангуловскийсельсовет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река Большой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Кинел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протяженность 155 км) — ширина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водоохранной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200 метров;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-река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Зерекл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протяженность 13км) — ширина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водоохранной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100 метров;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пруды, озера, ручьи — ширина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водоохранной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50 метров.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границах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 запрещается: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использование сточных вод для удобрения почв;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осуществление авиационных мер по борьбе с вредителями и болезнями растений;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границах прибрежных защитных полос запрещаются: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1) распашка земель;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2) размещение отвалов размываемых грунтов;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3) выпас сельскохозяйственных животных и организация для них летних лагерей, ванн.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защиты водоемов и водотоков от загрязнения рекомендуется строго соблюдать перечисленные требования.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Санитарных правил и норм СанПиН 2.1.4.1110-02 (от 01 июня 2002 г.) вокруг водозаборных скважин и станции II подъема питьевой воды нанесен I пояс (строгого режима) зоны санитарной охраны в размере 50м; II и III пояса не нанесены, т.к. являются расчетными.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границах ЗСО подземных водозаборов, водопроводных сооружений и водоводов запрещается: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а) применение удобрений и ядохимикатов;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б) размещение кладбищ, скотомогильников, полей фильтрации, навозохранилищ, силосных траншей, животноводческих траншей и других объектов, обусловливающих опасность микробного загрязнения подземных вод.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 xml:space="preserve">В пределах санитарных разрывов водоводов не допускается располагать источники загрязнения почвы и грунтовых вод. </w:t>
      </w:r>
    </w:p>
    <w:p w:rsidR="00F25A15" w:rsidRPr="00F25A15" w:rsidRDefault="00F25A15" w:rsidP="00F25A1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обеспечения населения качественной питьевой водой для всех водозаборных скважин (в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. и личных) и станции II подъема или насосно-фильтровальной станции необходимо разработать проект организации зоны санитарной охраны с определением границ составляющих ее поясов и разработать комплекс необходимых организационных, технических, гигиенических и противоэпидемических мероприятий.</w:t>
      </w: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6" w:name="_Toc359145256"/>
      <w:bookmarkStart w:id="7" w:name="_Toc361857134"/>
      <w:r w:rsidRPr="00F25A15">
        <w:rPr>
          <w:rFonts w:eastAsia="Calibri"/>
          <w:sz w:val="28"/>
          <w:szCs w:val="28"/>
          <w:lang w:eastAsia="en-US"/>
        </w:rPr>
        <w:t>8.4. Охрана почвенного покрова</w:t>
      </w:r>
      <w:bookmarkEnd w:id="6"/>
      <w:bookmarkEnd w:id="7"/>
    </w:p>
    <w:p w:rsidR="00F25A15" w:rsidRPr="00F25A15" w:rsidRDefault="00F25A15" w:rsidP="00F25A1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обеспечения охраны и рационального использования почвы необходимо предусмотреть комплекс мероприятий по ее рекультивации.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Рекультивации подлежат земли, нарушенные и (или) загрязненные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 разработке месторождений полезных ископаемых;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 прокладке трубопроводов различного назначения;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складировании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захоронении промышленных, бытовых биологических и пр. отходов, ядохимикатов.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обеспечить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качеством и своевременностью выполнения работ по рекультивации нарушенных земель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Рекультивация нарушенных земель осуществляется для восстановления их для сельскохозяйственных, лесохозяйственных, водохозяйственных, строительных, рекреационных, природоохранных и санитарно-оздоровительных целей.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ст.67 Водного Кодекса РФ на территориях, подверженных затоплению, размещение новых населенных пунктов, кладбищ, скотомогильников и строительство капитальных зданий, строений, сооружений без проведения специальных защитных мероприятий по предотвращению негативного воздействия вод запрещается.</w:t>
      </w: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kern w:val="1"/>
          <w:sz w:val="28"/>
          <w:szCs w:val="28"/>
          <w:lang w:eastAsia="en-US"/>
        </w:rPr>
      </w:pPr>
      <w:bookmarkStart w:id="8" w:name="_Toc359145257"/>
      <w:bookmarkStart w:id="9" w:name="_Toc361857135"/>
      <w:r w:rsidRPr="00F25A15">
        <w:rPr>
          <w:rFonts w:eastAsia="Calibri"/>
          <w:sz w:val="28"/>
          <w:szCs w:val="28"/>
          <w:lang w:eastAsia="en-US"/>
        </w:rPr>
        <w:t>8.5. Санитарная очистка территории</w:t>
      </w:r>
      <w:bookmarkEnd w:id="8"/>
      <w:bookmarkEnd w:id="9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санитарной очистки и уборки на территории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Новосултангуловского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являются территории домовладений, уличные и микрорайонные проезды, парки, скверы общественного пользования и отдыха, объекты культурного назначения, территории предприятий, учреждений, места уличной торговли.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системы современной санитарной очистки поселения включает: сбор и удаление ТБО, сбор и вывоз жидких отходов из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неканализованных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зданий, уборка территории от мусора, смета, снега, мытье усовершенствованных покрытий.</w:t>
      </w:r>
    </w:p>
    <w:p w:rsidR="00184742" w:rsidRDefault="00184742" w:rsidP="00B338DE">
      <w:pPr>
        <w:jc w:val="both"/>
      </w:pPr>
      <w:bookmarkStart w:id="10" w:name="_GoBack"/>
      <w:bookmarkEnd w:id="10"/>
    </w:p>
    <w:sectPr w:rsidR="00184742" w:rsidSect="0018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F1F"/>
    <w:multiLevelType w:val="multilevel"/>
    <w:tmpl w:val="D46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D739D"/>
    <w:multiLevelType w:val="hybridMultilevel"/>
    <w:tmpl w:val="3BE2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591"/>
    <w:rsid w:val="00057553"/>
    <w:rsid w:val="00184742"/>
    <w:rsid w:val="001967BF"/>
    <w:rsid w:val="002372CD"/>
    <w:rsid w:val="002806A7"/>
    <w:rsid w:val="003525B0"/>
    <w:rsid w:val="005F54A3"/>
    <w:rsid w:val="00642ED7"/>
    <w:rsid w:val="00770EFF"/>
    <w:rsid w:val="007C08BC"/>
    <w:rsid w:val="009E1591"/>
    <w:rsid w:val="00A54B14"/>
    <w:rsid w:val="00A91AF4"/>
    <w:rsid w:val="00B338DE"/>
    <w:rsid w:val="00CD7B4E"/>
    <w:rsid w:val="00D86E69"/>
    <w:rsid w:val="00DE298F"/>
    <w:rsid w:val="00EA0E71"/>
    <w:rsid w:val="00EC4F90"/>
    <w:rsid w:val="00F2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2"/>
  </w:style>
  <w:style w:type="paragraph" w:styleId="2">
    <w:name w:val="heading 2"/>
    <w:basedOn w:val="a"/>
    <w:link w:val="20"/>
    <w:uiPriority w:val="9"/>
    <w:qFormat/>
    <w:rsid w:val="009E1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1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E15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15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15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E15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1591"/>
    <w:rPr>
      <w:color w:val="0000FF"/>
      <w:u w:val="single"/>
    </w:rPr>
  </w:style>
  <w:style w:type="paragraph" w:customStyle="1" w:styleId="callout">
    <w:name w:val="callout"/>
    <w:basedOn w:val="a"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E1591"/>
    <w:rPr>
      <w:b/>
      <w:bCs/>
    </w:rPr>
  </w:style>
  <w:style w:type="character" w:customStyle="1" w:styleId="coverfolder-title">
    <w:name w:val="coverfolder-title"/>
    <w:basedOn w:val="a0"/>
    <w:rsid w:val="009E15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15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E159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15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E1591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E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591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E298F"/>
    <w:rPr>
      <w:color w:val="800080" w:themeColor="followedHyperlink"/>
      <w:u w:val="single"/>
    </w:rPr>
  </w:style>
  <w:style w:type="table" w:customStyle="1" w:styleId="31">
    <w:name w:val="Сетка таблицы3"/>
    <w:basedOn w:val="a1"/>
    <w:next w:val="aa"/>
    <w:uiPriority w:val="59"/>
    <w:rsid w:val="00F25A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F25A1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table" w:styleId="aa">
    <w:name w:val="Table Grid"/>
    <w:basedOn w:val="a1"/>
    <w:uiPriority w:val="59"/>
    <w:rsid w:val="00F25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5780">
                  <w:marLeft w:val="-113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3268">
                      <w:marLeft w:val="341"/>
                      <w:marRight w:val="3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39471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01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876018">
                  <w:marLeft w:val="-15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5138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877284158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5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1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634362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631885">
              <w:marLeft w:val="0"/>
              <w:marRight w:val="0"/>
              <w:marTop w:val="0"/>
              <w:marBottom w:val="240"/>
              <w:divBdr>
                <w:top w:val="single" w:sz="12" w:space="0" w:color="A6012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6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4818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841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81127">
                      <w:marLeft w:val="195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2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stud56.ru/ohrana-okruzhayuschei-sredy/informaciya-o-sostoyanii-okruzhayuschei-sredy-i-ob-ispolzovanii-prirodnyh-resurs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dcterms:created xsi:type="dcterms:W3CDTF">2022-07-14T10:33:00Z</dcterms:created>
  <dcterms:modified xsi:type="dcterms:W3CDTF">2022-07-29T08:15:00Z</dcterms:modified>
</cp:coreProperties>
</file>